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附件1</w:t>
      </w:r>
      <w:bookmarkStart w:id="0" w:name="_GoBack"/>
      <w:bookmarkEnd w:id="0"/>
    </w:p>
    <w:tbl>
      <w:tblPr>
        <w:tblStyle w:val="2"/>
        <w:tblW w:w="0" w:type="auto"/>
        <w:tblInd w:w="5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57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875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</w:rPr>
              <w:t>响应登记表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5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>广州市公路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eastAsia="zh-CN"/>
              </w:rPr>
              <w:t>客运站客流分析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>和发展优化调查研究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供应商名称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统一社会信用代码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联系电话（手机）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联系电话（座机）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传真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响应登记时间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分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招标文件工本费支付时间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分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DBlMDgyMzJjNDZkNTdlZjRlNDA0NjAwNTlmMTgifQ=="/>
  </w:docVars>
  <w:rsids>
    <w:rsidRoot w:val="11D85EFD"/>
    <w:rsid w:val="11D85EFD"/>
    <w:rsid w:val="67F28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2022-05-13T11:55:00Z</dcterms:created>
  <dc:creator>PC</dc:creator>
  <cp:lastModifiedBy>inspur</cp:lastModifiedBy>
  <dcterms:modified xsi:type="dcterms:W3CDTF">2022-05-13T16:39:13Z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EDC9659A01834730948CC28CF9CEF006</vt:lpwstr>
  </property>
</Properties>
</file>