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监理企业优良信用行为评定标准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1559"/>
        <w:gridCol w:w="2835"/>
        <w:gridCol w:w="6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  <w:t>序号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  <w:t>项目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  <w:t>分值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  <w:t>具体指标</w:t>
            </w:r>
          </w:p>
        </w:tc>
        <w:tc>
          <w:tcPr>
            <w:tcW w:w="68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2"/>
                <w:highlight w:val="none"/>
              </w:rPr>
              <w:t>评价标准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获奖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近2年内获得国家、省、广州市施工类奖项</w:t>
            </w:r>
          </w:p>
        </w:tc>
        <w:tc>
          <w:tcPr>
            <w:tcW w:w="6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详见附件3。累计得分超过10分按满分10分计算。同一个项目获得多个奖项的，按最高得分者计算，不重复计算。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表扬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表彰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近3年内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受到行政机关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表扬表彰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2.上一年市交通运输局质量安全评价得分</w:t>
            </w:r>
          </w:p>
        </w:tc>
        <w:tc>
          <w:tcPr>
            <w:tcW w:w="68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1.受到广东省人民政府、广州市人民政府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表扬表彰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每次得3分；受到广东省住房和城乡建设厅、广东省交通运输厅、广州市交通运输局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表扬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表彰每次得2分；区监管项目受到所在区人民政府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表扬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表彰每次得2分；其他不得分。同一个项目获得多个行政机关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表扬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表彰的，按最高得分者计算，不重复计算。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2.80分≤得分&lt;90分的，每个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工程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得1分；得分≥90分的，每个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工程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得3分。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累计得分超过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分按满分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分计算。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合计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2"/>
                <w:highlight w:val="none"/>
                <w:lang w:val="en-US" w:eastAsia="zh-CN"/>
              </w:rPr>
              <w:t>0分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686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hYWU3NTcwMTNlZGQ5MTRmMzVjM2I4NWViOGJkZGYifQ=="/>
  </w:docVars>
  <w:rsids>
    <w:rsidRoot w:val="3ABD1C2D"/>
    <w:rsid w:val="3AB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2022-06-27T09:30:00Z</dcterms:created>
  <dc:creator>茗^_^茗</dc:creator>
  <cp:lastModifiedBy>茗^_^茗</cp:lastModifiedBy>
  <dcterms:modified xsi:type="dcterms:W3CDTF">2022-06-27T09:30:59Z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9CF002B120E348898648C372677A4236</vt:lpwstr>
  </property>
</Properties>
</file>