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行业奖项清单</w:t>
      </w:r>
    </w:p>
    <w:bookmarkEnd w:id="0"/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3353"/>
        <w:gridCol w:w="4798"/>
        <w:gridCol w:w="2913"/>
        <w:gridCol w:w="22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tblHeader/>
          <w:jc w:val="center"/>
        </w:trPr>
        <w:tc>
          <w:tcPr>
            <w:tcW w:w="8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奖项名称</w:t>
            </w:r>
          </w:p>
        </w:tc>
        <w:tc>
          <w:tcPr>
            <w:tcW w:w="4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颁发单位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评价标准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417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（一）工程质量类奖项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中国建设工程鲁班奖（国家优质工程）</w:t>
            </w:r>
          </w:p>
        </w:tc>
        <w:tc>
          <w:tcPr>
            <w:tcW w:w="4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中国建筑业协会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广州范围内每项得3分，非广州范围内每项得0.5分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国家级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国家优质工程奖</w:t>
            </w:r>
          </w:p>
        </w:tc>
        <w:tc>
          <w:tcPr>
            <w:tcW w:w="4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中国施工企业管理协会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每项得3分，非广州范围内每项得0.5分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国家级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广东市政金奖</w:t>
            </w:r>
          </w:p>
        </w:tc>
        <w:tc>
          <w:tcPr>
            <w:tcW w:w="4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广东省市政行业协会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广州市范围内每项得1分，非广州范围内每项得0.5分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省级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广东省市政优良样板工程</w:t>
            </w:r>
          </w:p>
        </w:tc>
        <w:tc>
          <w:tcPr>
            <w:tcW w:w="4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广东省市政行业协会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广州市范围内每项得1分，非广州范围内每项得0.5分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省级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3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广州市市长质量奖</w:t>
            </w:r>
          </w:p>
        </w:tc>
        <w:tc>
          <w:tcPr>
            <w:tcW w:w="4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广州市市长质量奖评审委员会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每项得2分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市级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3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广州市市政精品工程奖</w:t>
            </w:r>
          </w:p>
        </w:tc>
        <w:tc>
          <w:tcPr>
            <w:tcW w:w="4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广州市交通运输局或其委托单位（机构）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每项得2分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市级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3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广州市建设工程质量五羊杯</w:t>
            </w:r>
          </w:p>
        </w:tc>
        <w:tc>
          <w:tcPr>
            <w:tcW w:w="4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广州市市政公路协会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每项得1分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市级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3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广州市建设工程优质奖</w:t>
            </w:r>
          </w:p>
        </w:tc>
        <w:tc>
          <w:tcPr>
            <w:tcW w:w="4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广州市市政公路协会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每项得0.5分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市级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（二）安全文明绿色施工类奖项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广东省市政工程安全文明施工示范工地</w:t>
            </w:r>
          </w:p>
        </w:tc>
        <w:tc>
          <w:tcPr>
            <w:tcW w:w="4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广东省市政行业协会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广州市范围内每项得1分，非广州范围内每项得0.3分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省级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广州市市政公用工程安全文明绿色施工标准化示范工地</w:t>
            </w:r>
          </w:p>
        </w:tc>
        <w:tc>
          <w:tcPr>
            <w:tcW w:w="4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广州市市政公路协会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每项得1分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市级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广州市市政公用工程安全文明绿色施工样板工地</w:t>
            </w:r>
          </w:p>
        </w:tc>
        <w:tc>
          <w:tcPr>
            <w:tcW w:w="4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广州市市政公路协会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每项得0.5分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市级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广州市建筑施工安全生产标准化达标企业</w:t>
            </w:r>
          </w:p>
        </w:tc>
        <w:tc>
          <w:tcPr>
            <w:tcW w:w="4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广州市市政公路协会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每项得0.5分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市级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（三）工程科技奖项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国家科技进步奖</w:t>
            </w:r>
          </w:p>
        </w:tc>
        <w:tc>
          <w:tcPr>
            <w:tcW w:w="4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国务院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广州市范围内每项得3分，非广州范围内每项得0.5分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国家级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中国土木工程詹天佑奖</w:t>
            </w:r>
          </w:p>
        </w:tc>
        <w:tc>
          <w:tcPr>
            <w:tcW w:w="4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中国土木工程学会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每项得2分，非广州范围内每项得2分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国家级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省科技进步奖</w:t>
            </w:r>
          </w:p>
        </w:tc>
        <w:tc>
          <w:tcPr>
            <w:tcW w:w="4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省人民政府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广州市范围内每项得2分，非广州范围内每项得0.5分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省级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广东省土木工程詹天佑故乡杯</w:t>
            </w:r>
          </w:p>
        </w:tc>
        <w:tc>
          <w:tcPr>
            <w:tcW w:w="4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广东省土木建筑学会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广州市范围内每项得1分，非广州范围内每项得0.5分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省级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hYWU3NTcwMTNlZGQ5MTRmMzVjM2I4NWViOGJkZGYifQ=="/>
  </w:docVars>
  <w:rsids>
    <w:rsidRoot w:val="29184983"/>
    <w:rsid w:val="2918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2022-06-27T09:31:00Z</dcterms:created>
  <dc:creator>茗^_^茗</dc:creator>
  <cp:lastModifiedBy>茗^_^茗</cp:lastModifiedBy>
  <dcterms:modified xsi:type="dcterms:W3CDTF">2022-06-27T09:31:36Z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24E02E19D8F54BB894E1E17860CAABB4</vt:lpwstr>
  </property>
</Properties>
</file>